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 2023 года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16 марта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9 марта 2023 года по 15 марта 2023 года состоялись общественные обсуждения по проекту  </w:t>
      </w:r>
      <w:r>
        <w:rPr>
          <w:rFonts w:ascii="Times New Roman" w:hAnsi="Times New Roman"/>
          <w:sz w:val="24"/>
          <w:szCs w:val="24"/>
          <w:u w:val="single"/>
        </w:rPr>
        <w:t>утверждения программы энергосбережения и повышения энергетической эффективности  муниципального казенного учреждения администраци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/>
          <w:sz w:val="24"/>
          <w:szCs w:val="24"/>
          <w:u w:val="single"/>
        </w:rPr>
        <w:t xml:space="preserve"> Белоярского района на период 2023-2025 годы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которых приняло участие 6 (шесть)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</w:t>
      </w:r>
      <w:bookmarkStart w:id="0" w:name="_GoBack"/>
      <w:bookmarkEnd w:id="0"/>
      <w:r>
        <w:rPr>
          <w:rFonts w:ascii="Times New Roman" w:hAnsi="Times New Roman" w:cs="Times New Roman"/>
        </w:rPr>
        <w:t>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58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1</TotalTime>
  <ScaleCrop>false</ScaleCrop>
  <LinksUpToDate>false</LinksUpToDate>
  <CharactersWithSpaces>1904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2023-03-30T12:59:55Z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6C7FA146328949F795796E61CAB36696</vt:lpwstr>
  </property>
</Properties>
</file>